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86" w:rsidRDefault="00747E86" w:rsidP="00747E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UCS Report</w:t>
      </w:r>
      <w:bookmarkStart w:id="0" w:name="_GoBack"/>
      <w:bookmarkEnd w:id="0"/>
    </w:p>
    <w:p w:rsidR="00747E86" w:rsidRPr="00747E86" w:rsidRDefault="00747E86" w:rsidP="00C51BE8">
      <w:pPr>
        <w:spacing w:after="0"/>
        <w:jc w:val="center"/>
        <w:rPr>
          <w:b/>
          <w:i/>
          <w:sz w:val="36"/>
          <w:szCs w:val="36"/>
        </w:rPr>
      </w:pPr>
      <w:proofErr w:type="gramStart"/>
      <w:r w:rsidRPr="00747E86">
        <w:rPr>
          <w:b/>
          <w:i/>
          <w:sz w:val="36"/>
          <w:szCs w:val="36"/>
        </w:rPr>
        <w:t>Halfway There?</w:t>
      </w:r>
      <w:proofErr w:type="gramEnd"/>
      <w:r w:rsidRPr="00747E86">
        <w:rPr>
          <w:b/>
          <w:i/>
          <w:sz w:val="36"/>
          <w:szCs w:val="36"/>
        </w:rPr>
        <w:t xml:space="preserve"> What the Land Sector Can Contribute to Closing the Emissions Gap</w:t>
      </w:r>
    </w:p>
    <w:p w:rsidR="00C51BE8" w:rsidRDefault="00C51BE8">
      <w:pPr>
        <w:rPr>
          <w:b/>
          <w:sz w:val="36"/>
          <w:szCs w:val="36"/>
        </w:rPr>
      </w:pPr>
    </w:p>
    <w:p w:rsidR="00BB54CC" w:rsidRPr="00ED7797" w:rsidRDefault="00747E86">
      <w:pPr>
        <w:rPr>
          <w:b/>
          <w:sz w:val="36"/>
          <w:szCs w:val="36"/>
        </w:rPr>
      </w:pPr>
      <w:r>
        <w:rPr>
          <w:b/>
          <w:sz w:val="36"/>
          <w:szCs w:val="36"/>
        </w:rPr>
        <w:t>Detailed Description of Methods</w:t>
      </w:r>
    </w:p>
    <w:p w:rsidR="006A2F0E" w:rsidRDefault="006A2F0E" w:rsidP="006A2F0E">
      <w:pPr>
        <w:pStyle w:val="Heading1"/>
      </w:pPr>
      <w:r>
        <w:t>Key Words</w:t>
      </w:r>
    </w:p>
    <w:p w:rsidR="00D74C01" w:rsidRDefault="00742D88" w:rsidP="0061167F">
      <w:r>
        <w:t>To identify candidate studi</w:t>
      </w:r>
      <w:r w:rsidR="0061167F">
        <w:t>es fo</w:t>
      </w:r>
      <w:r w:rsidR="00003A3F">
        <w:t>r inclusion in our database</w:t>
      </w:r>
      <w:r w:rsidR="0061167F">
        <w:t>, we</w:t>
      </w:r>
      <w:r w:rsidR="00003A3F">
        <w:t xml:space="preserve"> used search </w:t>
      </w:r>
      <w:r w:rsidR="00003A3F" w:rsidRPr="00541A99">
        <w:t>engines</w:t>
      </w:r>
      <w:r w:rsidR="0061167F" w:rsidRPr="00541A99">
        <w:t xml:space="preserve"> (</w:t>
      </w:r>
      <w:r w:rsidR="008C6C72" w:rsidRPr="00541A99">
        <w:t>Web of Science</w:t>
      </w:r>
      <w:r w:rsidRPr="00541A99">
        <w:t xml:space="preserve">, </w:t>
      </w:r>
      <w:proofErr w:type="spellStart"/>
      <w:r w:rsidRPr="00541A99">
        <w:t>Proquest</w:t>
      </w:r>
      <w:proofErr w:type="spellEnd"/>
      <w:r w:rsidRPr="00541A99">
        <w:t>, EBSO E-Journals Database</w:t>
      </w:r>
      <w:r w:rsidR="0061167F" w:rsidRPr="00541A99">
        <w:t xml:space="preserve">, </w:t>
      </w:r>
      <w:proofErr w:type="spellStart"/>
      <w:r w:rsidR="00D74C01" w:rsidRPr="00541A99">
        <w:t>Zanran</w:t>
      </w:r>
      <w:proofErr w:type="spellEnd"/>
      <w:r w:rsidR="00D74C01" w:rsidRPr="00541A99">
        <w:t xml:space="preserve">, </w:t>
      </w:r>
      <w:r w:rsidR="0061167F" w:rsidRPr="00541A99">
        <w:t>Google, and Google Scholar) and</w:t>
      </w:r>
      <w:r w:rsidR="00003A3F" w:rsidRPr="00541A99">
        <w:t xml:space="preserve"> browsed</w:t>
      </w:r>
      <w:r w:rsidR="0061167F" w:rsidRPr="00541A99">
        <w:t xml:space="preserve"> websites (</w:t>
      </w:r>
      <w:r w:rsidR="00003A3F" w:rsidRPr="00541A99">
        <w:t xml:space="preserve">McKinsey, UNFCCC, </w:t>
      </w:r>
      <w:r w:rsidR="00541A99">
        <w:t>IPCC</w:t>
      </w:r>
      <w:r w:rsidR="00003A3F" w:rsidRPr="00541A99">
        <w:t>)</w:t>
      </w:r>
      <w:r w:rsidRPr="00541A99">
        <w:t xml:space="preserve"> for articles containing the combinations of terms rel</w:t>
      </w:r>
      <w:r>
        <w:t xml:space="preserve">ated to our subject </w:t>
      </w:r>
      <w:r w:rsidR="0061167F">
        <w:t xml:space="preserve">(e.g. </w:t>
      </w:r>
      <w:r w:rsidR="00936D42">
        <w:t>AFOLU</w:t>
      </w:r>
      <w:r w:rsidR="00D74C01">
        <w:t>;</w:t>
      </w:r>
      <w:r w:rsidR="00936D42">
        <w:t xml:space="preserve"> LUCF;</w:t>
      </w:r>
      <w:r w:rsidR="00D74C01">
        <w:t xml:space="preserve"> </w:t>
      </w:r>
      <w:r w:rsidR="0061167F">
        <w:t xml:space="preserve">EMISSION*), </w:t>
      </w:r>
      <w:r w:rsidR="00D74C01">
        <w:t>concept (e.g. ABATE*+ POTENTIAL) and popular mitigation policies (e.g. REFOR</w:t>
      </w:r>
      <w:r w:rsidR="0061167F">
        <w:t>*;</w:t>
      </w:r>
      <w:r w:rsidR="00D74C01">
        <w:t xml:space="preserve"> AGRI* + </w:t>
      </w:r>
      <w:r w:rsidR="00D74C01" w:rsidRPr="00223758">
        <w:t xml:space="preserve">INTENS*) (Table 1). In </w:t>
      </w:r>
      <w:r w:rsidR="00D74C01">
        <w:t xml:space="preserve">addition to the keyword search we also identified candidate studies from </w:t>
      </w:r>
      <w:r w:rsidR="00E86F96">
        <w:t>colleagues and news sources identifying newly published reports</w:t>
      </w:r>
      <w:r w:rsidR="00D74C01">
        <w:t xml:space="preserve">. </w:t>
      </w:r>
    </w:p>
    <w:p w:rsidR="00223758" w:rsidRDefault="006A2F0E" w:rsidP="006A2F0E">
      <w:pPr>
        <w:pStyle w:val="Heading1"/>
      </w:pPr>
      <w:r>
        <w:t>Criteria</w:t>
      </w:r>
      <w:r w:rsidR="00704EC3">
        <w:t xml:space="preserve"> </w:t>
      </w:r>
    </w:p>
    <w:p w:rsidR="00223758" w:rsidRDefault="00223758" w:rsidP="00223758">
      <w:r>
        <w:t xml:space="preserve">We included studies in the database only if they met the following criteria: 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>Studies must be publicly available, including both grey and peer-reviewed published literature.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>Estimates in studies must either be country specific or region specific. Studies that give global estimates without breaking estimates down by region or country are therefore not included.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>Estimates in studies must be final. Estimates are excluded if authors indicate these numbers are preliminary and not to be cited.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 xml:space="preserve">Studies must have explicit reference and projection estimates for years 2020 and 2030, </w:t>
      </w:r>
      <w:r w:rsidRPr="00C51BE8">
        <w:rPr>
          <w:i/>
        </w:rPr>
        <w:t>OR</w:t>
      </w:r>
      <w:r>
        <w:t>,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>If reference and/or projection estimates are not given explicitly for 2020 and/or 2030, the study-period must allow estimates for 2020 and 2030 to be interpolated.</w:t>
      </w:r>
    </w:p>
    <w:p w:rsidR="00E86F96" w:rsidRDefault="00E86F96" w:rsidP="00E86F96">
      <w:pPr>
        <w:pStyle w:val="ListParagraph"/>
        <w:numPr>
          <w:ilvl w:val="0"/>
          <w:numId w:val="4"/>
        </w:numPr>
      </w:pPr>
      <w:r>
        <w:t>Refer</w:t>
      </w:r>
      <w:r w:rsidR="00BC4830">
        <w:t xml:space="preserve">ence scenarios must be reasonably </w:t>
      </w:r>
      <w:proofErr w:type="gramStart"/>
      <w:r w:rsidR="00BC4830">
        <w:t>attainable,</w:t>
      </w:r>
      <w:proofErr w:type="gramEnd"/>
      <w:r w:rsidR="00BC4830">
        <w:t xml:space="preserve"> scenarios are excluded if their estimation is based on scenarios that do not account for economic and political constraint (</w:t>
      </w:r>
      <w:proofErr w:type="spellStart"/>
      <w:r w:rsidR="00BC4830">
        <w:t>ie</w:t>
      </w:r>
      <w:proofErr w:type="spellEnd"/>
      <w:r w:rsidR="00BC4830">
        <w:t xml:space="preserve">. </w:t>
      </w:r>
      <w:proofErr w:type="spellStart"/>
      <w:r w:rsidR="00BC4830">
        <w:t>Masera</w:t>
      </w:r>
      <w:proofErr w:type="spellEnd"/>
      <w:r w:rsidR="00BC4830">
        <w:t xml:space="preserve"> 1995)</w:t>
      </w:r>
      <w:r>
        <w:t>.</w:t>
      </w:r>
    </w:p>
    <w:p w:rsidR="00E86F96" w:rsidRDefault="00E86F96" w:rsidP="00E86F96">
      <w:pPr>
        <w:pStyle w:val="ListParagraph"/>
      </w:pPr>
    </w:p>
    <w:p w:rsidR="006A2F0E" w:rsidRDefault="006A2F0E" w:rsidP="006A2F0E">
      <w:pPr>
        <w:pStyle w:val="Heading1"/>
      </w:pPr>
      <w:r>
        <w:t>Yields</w:t>
      </w:r>
    </w:p>
    <w:p w:rsidR="00A30F4E" w:rsidRDefault="00A30F4E" w:rsidP="00A30F4E">
      <w:r>
        <w:t xml:space="preserve">Our literature search and inclusion criteria resulted in the inclusion </w:t>
      </w:r>
      <w:r w:rsidRPr="00846481">
        <w:t xml:space="preserve">of </w:t>
      </w:r>
      <w:r w:rsidR="00483CCA">
        <w:t>13</w:t>
      </w:r>
      <w:r>
        <w:t xml:space="preserve"> studies in the database</w:t>
      </w:r>
      <w:r w:rsidR="00704EC3">
        <w:t xml:space="preserve"> (</w:t>
      </w:r>
      <w:r w:rsidR="00F31021">
        <w:t>Global n=1, Brazil</w:t>
      </w:r>
      <w:r w:rsidR="00704EC3">
        <w:t xml:space="preserve"> n=</w:t>
      </w:r>
      <w:r w:rsidR="00F31021">
        <w:t>3</w:t>
      </w:r>
      <w:r w:rsidR="00704EC3">
        <w:t>, China n=</w:t>
      </w:r>
      <w:r w:rsidR="00F31021">
        <w:t>1</w:t>
      </w:r>
      <w:r w:rsidR="00704EC3">
        <w:t>, Democratic Republic of the Congo n=</w:t>
      </w:r>
      <w:r w:rsidR="00F31021">
        <w:t>1</w:t>
      </w:r>
      <w:r w:rsidR="00704EC3">
        <w:t>, European Union n=</w:t>
      </w:r>
      <w:r w:rsidR="00F31021">
        <w:t>1</w:t>
      </w:r>
      <w:r w:rsidR="00704EC3">
        <w:t>, India n=</w:t>
      </w:r>
      <w:r w:rsidR="00F31021">
        <w:t>1</w:t>
      </w:r>
      <w:r w:rsidR="00704EC3">
        <w:t>, Indonesia n=</w:t>
      </w:r>
      <w:r w:rsidR="00F31021">
        <w:t>2</w:t>
      </w:r>
      <w:r w:rsidR="00846481">
        <w:t>, Mexico</w:t>
      </w:r>
      <w:r w:rsidR="00704EC3">
        <w:t xml:space="preserve"> n=</w:t>
      </w:r>
      <w:r w:rsidR="00F31021">
        <w:t>2</w:t>
      </w:r>
      <w:r w:rsidR="00704EC3">
        <w:t>, United States n=</w:t>
      </w:r>
      <w:r w:rsidR="00F31021">
        <w:t>1</w:t>
      </w:r>
      <w:r w:rsidR="00704EC3">
        <w:t xml:space="preserve">) </w:t>
      </w:r>
      <w:r>
        <w:t>(Table 2).</w:t>
      </w:r>
      <w:r w:rsidR="001920C5">
        <w:t xml:space="preserve"> </w:t>
      </w:r>
      <w:r w:rsidR="00846481">
        <w:t xml:space="preserve">Of the </w:t>
      </w:r>
      <w:r w:rsidR="00F31021">
        <w:t xml:space="preserve">13 </w:t>
      </w:r>
      <w:r w:rsidR="0085443C">
        <w:t xml:space="preserve">studies, </w:t>
      </w:r>
      <w:r w:rsidR="00F31021">
        <w:t>1</w:t>
      </w:r>
      <w:r w:rsidR="0085443C">
        <w:t xml:space="preserve"> study was global</w:t>
      </w:r>
      <w:r w:rsidR="00704EC3">
        <w:t>,</w:t>
      </w:r>
      <w:r w:rsidR="0085443C">
        <w:t xml:space="preserve"> with estimates broken into regions. GHG reference and scenario estimates for </w:t>
      </w:r>
      <w:r w:rsidR="00704EC3">
        <w:t xml:space="preserve">this study were then divided by ratio of population of the country to that of the entire region. </w:t>
      </w:r>
    </w:p>
    <w:p w:rsidR="00A30F4E" w:rsidRDefault="006A2F0E" w:rsidP="006A2F0E">
      <w:pPr>
        <w:pStyle w:val="Heading1"/>
      </w:pPr>
      <w:r>
        <w:lastRenderedPageBreak/>
        <w:t>Interpretation</w:t>
      </w:r>
    </w:p>
    <w:p w:rsidR="006A2F0E" w:rsidRDefault="006A2F0E" w:rsidP="006A2F0E">
      <w:pPr>
        <w:pStyle w:val="Heading2"/>
      </w:pPr>
      <w:r>
        <w:t>Quality of Studies</w:t>
      </w:r>
    </w:p>
    <w:p w:rsidR="00846481" w:rsidRPr="00846481" w:rsidRDefault="00467F67" w:rsidP="00846481">
      <w:r>
        <w:t>The estimates we used varied in quality</w:t>
      </w:r>
      <w:r w:rsidR="00F7491C">
        <w:t>, which we then coded into three categories of “very good”, “good”, and “poor”</w:t>
      </w:r>
      <w:r w:rsidR="000B1CC7">
        <w:t xml:space="preserve"> (Table 3</w:t>
      </w:r>
      <w:r w:rsidR="00480E1E">
        <w:t>)</w:t>
      </w:r>
      <w:r>
        <w:t>.</w:t>
      </w:r>
      <w:r w:rsidR="00846481">
        <w:t xml:space="preserve"> </w:t>
      </w:r>
      <w:r>
        <w:t xml:space="preserve">We identified </w:t>
      </w:r>
      <w:r w:rsidR="00F31021">
        <w:t xml:space="preserve">published </w:t>
      </w:r>
      <w:r>
        <w:t>studies</w:t>
      </w:r>
      <w:r w:rsidR="00025AEF">
        <w:t xml:space="preserve"> and reports</w:t>
      </w:r>
      <w:r w:rsidR="00846481">
        <w:t xml:space="preserve"> </w:t>
      </w:r>
      <w:r w:rsidR="00025AEF">
        <w:t>whose estimates are</w:t>
      </w:r>
      <w:r w:rsidR="00846481">
        <w:t xml:space="preserve"> </w:t>
      </w:r>
      <w:r>
        <w:t>explicit for</w:t>
      </w:r>
      <w:r w:rsidR="004E063F">
        <w:t xml:space="preserve"> both</w:t>
      </w:r>
      <w:r>
        <w:t xml:space="preserve"> 2020 and 2030</w:t>
      </w:r>
      <w:r w:rsidR="00CD3749">
        <w:t xml:space="preserve"> and are available</w:t>
      </w:r>
      <w:r>
        <w:t xml:space="preserve"> in either text or table as “very good”. </w:t>
      </w:r>
      <w:r w:rsidR="00F7491C">
        <w:t xml:space="preserve">We identified </w:t>
      </w:r>
      <w:r w:rsidR="000B1CC7">
        <w:t xml:space="preserve">published </w:t>
      </w:r>
      <w:r w:rsidR="00025AEF">
        <w:t>studies whose estimates are not explicit for</w:t>
      </w:r>
      <w:r w:rsidR="004E063F">
        <w:t xml:space="preserve"> either/both</w:t>
      </w:r>
      <w:r w:rsidR="00025AEF">
        <w:t xml:space="preserve"> 2020 and 2030, but encompass the given time </w:t>
      </w:r>
      <w:r w:rsidR="00CD3749">
        <w:t>period, are available</w:t>
      </w:r>
      <w:r w:rsidR="00025AEF">
        <w:t xml:space="preserve"> in the text </w:t>
      </w:r>
      <w:r w:rsidR="00CD3749">
        <w:t xml:space="preserve">or a table </w:t>
      </w:r>
      <w:r w:rsidR="00025AEF">
        <w:t>and</w:t>
      </w:r>
      <w:r w:rsidR="00CD3749">
        <w:t>, therefore,</w:t>
      </w:r>
      <w:r w:rsidR="00025AEF">
        <w:t xml:space="preserve"> can facilitate interpolation for those years as “good”. We identified </w:t>
      </w:r>
      <w:r w:rsidR="000B1CC7">
        <w:t xml:space="preserve">published </w:t>
      </w:r>
      <w:r w:rsidR="00025AEF">
        <w:t>studies</w:t>
      </w:r>
      <w:r w:rsidR="000B1CC7">
        <w:t xml:space="preserve"> </w:t>
      </w:r>
      <w:r w:rsidR="00025AEF">
        <w:t>whose data</w:t>
      </w:r>
      <w:r w:rsidR="00CD3749">
        <w:t xml:space="preserve"> are neither explicit for 2020 or 2030, nor are available </w:t>
      </w:r>
      <w:r w:rsidR="00025AEF">
        <w:t>in text or table, but must be interpolated based visual graphs as “poor”.</w:t>
      </w:r>
      <w:r w:rsidR="00480E1E">
        <w:t xml:space="preserve"> </w:t>
      </w:r>
    </w:p>
    <w:p w:rsidR="006A2F0E" w:rsidRDefault="006A2F0E" w:rsidP="006A2F0E">
      <w:pPr>
        <w:pStyle w:val="Heading2"/>
      </w:pPr>
      <w:r>
        <w:t>Unit Conversion</w:t>
      </w:r>
    </w:p>
    <w:p w:rsidR="00480E1E" w:rsidRDefault="00480E1E" w:rsidP="00480E1E">
      <w:r>
        <w:t xml:space="preserve">GHG gas estimates were given in units that differed across </w:t>
      </w:r>
      <w:r w:rsidR="00E6064D">
        <w:t>studies;</w:t>
      </w:r>
      <w:r>
        <w:t xml:space="preserve"> most studies used</w:t>
      </w:r>
      <w:r w:rsidR="00C77CAB">
        <w:t xml:space="preserve"> tons of carbon dioxide</w:t>
      </w:r>
      <w:r w:rsidR="00CD3749">
        <w:t xml:space="preserve"> (TCO2)</w:t>
      </w:r>
      <w:r w:rsidR="00C77CAB">
        <w:t xml:space="preserve"> or carbon dioxide </w:t>
      </w:r>
      <w:proofErr w:type="gramStart"/>
      <w:r w:rsidR="00C77CAB">
        <w:t>equivalent  (</w:t>
      </w:r>
      <w:proofErr w:type="gramEnd"/>
      <w:r w:rsidR="00C77CAB">
        <w:t>TCO2e), m</w:t>
      </w:r>
      <w:r>
        <w:t xml:space="preserve">egatons of </w:t>
      </w:r>
      <w:r w:rsidR="00C77CAB">
        <w:t>carbon dioxide</w:t>
      </w:r>
      <w:r w:rsidR="004E063F">
        <w:t xml:space="preserve"> (MtCO2)</w:t>
      </w:r>
      <w:r w:rsidR="00C77CAB">
        <w:t xml:space="preserve"> or carbon dioxide equivalent </w:t>
      </w:r>
      <w:r>
        <w:t xml:space="preserve">(MtCO2e), </w:t>
      </w:r>
      <w:r w:rsidR="00C77CAB">
        <w:t xml:space="preserve">or </w:t>
      </w:r>
      <w:proofErr w:type="spellStart"/>
      <w:r w:rsidR="00C77CAB">
        <w:t>gig</w:t>
      </w:r>
      <w:r>
        <w:t>a</w:t>
      </w:r>
      <w:r w:rsidR="00C77CAB">
        <w:t>tons</w:t>
      </w:r>
      <w:proofErr w:type="spellEnd"/>
      <w:r w:rsidR="00C77CAB">
        <w:t xml:space="preserve"> of carbon dioxide </w:t>
      </w:r>
      <w:r w:rsidR="004E063F">
        <w:t xml:space="preserve">(GtCO2) </w:t>
      </w:r>
      <w:r w:rsidR="00C77CAB">
        <w:t>or carbon dioxide equivalent (G</w:t>
      </w:r>
      <w:r>
        <w:t>tC</w:t>
      </w:r>
      <w:r w:rsidR="00C77CAB">
        <w:t>O2e</w:t>
      </w:r>
      <w:r>
        <w:t xml:space="preserve">). </w:t>
      </w:r>
      <w:r w:rsidR="00C77CAB">
        <w:t xml:space="preserve">Sometimes, estimates were given in tons, megatons or </w:t>
      </w:r>
      <w:proofErr w:type="spellStart"/>
      <w:r w:rsidR="00C77CAB">
        <w:t>gigatons</w:t>
      </w:r>
      <w:proofErr w:type="spellEnd"/>
      <w:r w:rsidR="00C77CAB">
        <w:t xml:space="preserve"> of carbon (TC, </w:t>
      </w:r>
      <w:proofErr w:type="spellStart"/>
      <w:r w:rsidR="00C77CAB">
        <w:t>MtC</w:t>
      </w:r>
      <w:proofErr w:type="spellEnd"/>
      <w:r w:rsidR="00C77CAB">
        <w:t xml:space="preserve">, or </w:t>
      </w:r>
      <w:proofErr w:type="spellStart"/>
      <w:r w:rsidR="00C77CAB">
        <w:t>GtC</w:t>
      </w:r>
      <w:proofErr w:type="spellEnd"/>
      <w:r w:rsidR="00C77CAB">
        <w:t>), which we then converted to carbon dioxide using the</w:t>
      </w:r>
      <w:r w:rsidR="00C51BE8">
        <w:t xml:space="preserve"> molecular</w:t>
      </w:r>
      <w:r w:rsidR="00C77CAB">
        <w:t xml:space="preserve"> ratio </w:t>
      </w:r>
      <w:r w:rsidR="00C51BE8">
        <w:t>of carbon to carbon dioxide (</w:t>
      </w:r>
      <w:r w:rsidR="00C77CAB">
        <w:t>12</w:t>
      </w:r>
      <w:r w:rsidR="00C51BE8">
        <w:t>/44</w:t>
      </w:r>
      <w:r w:rsidR="00C77CAB">
        <w:t>)</w:t>
      </w:r>
      <w:r w:rsidR="004E063F">
        <w:t xml:space="preserve">. </w:t>
      </w:r>
      <w:r>
        <w:t xml:space="preserve">To enable consistent comparison we converted all units to </w:t>
      </w:r>
      <w:proofErr w:type="spellStart"/>
      <w:r>
        <w:t>Gigatons</w:t>
      </w:r>
      <w:proofErr w:type="spellEnd"/>
      <w:r>
        <w:t xml:space="preserve"> of </w:t>
      </w:r>
      <w:r w:rsidR="00DC55AB">
        <w:t>Carbon</w:t>
      </w:r>
      <w:r w:rsidR="00C51BE8">
        <w:t xml:space="preserve"> Dioxide</w:t>
      </w:r>
      <w:r w:rsidR="00DC55AB">
        <w:t xml:space="preserve"> E</w:t>
      </w:r>
      <w:r>
        <w:t xml:space="preserve">quivalent (GTCO2e). </w:t>
      </w:r>
    </w:p>
    <w:p w:rsidR="00414340" w:rsidRDefault="00414340" w:rsidP="00414340">
      <w:pPr>
        <w:pStyle w:val="Heading2"/>
      </w:pPr>
      <w:r>
        <w:t>Averaging</w:t>
      </w:r>
    </w:p>
    <w:p w:rsidR="00414340" w:rsidRPr="00414340" w:rsidRDefault="00414340" w:rsidP="00414340">
      <w:r>
        <w:t>When two estimates of emissions where used under a particular scenario, these estimates were averaged to a si</w:t>
      </w:r>
      <w:r w:rsidR="004E063F">
        <w:t xml:space="preserve">ngle estimate. For instance, </w:t>
      </w:r>
      <w:proofErr w:type="spellStart"/>
      <w:r w:rsidR="00A871BE">
        <w:t>Masera</w:t>
      </w:r>
      <w:proofErr w:type="spellEnd"/>
      <w:r w:rsidR="00A871BE">
        <w:t xml:space="preserve"> 1995</w:t>
      </w:r>
      <w:r w:rsidR="004E063F">
        <w:t xml:space="preserve"> contained reference </w:t>
      </w:r>
      <w:proofErr w:type="gramStart"/>
      <w:r w:rsidR="004E063F">
        <w:t>scenarios</w:t>
      </w:r>
      <w:r w:rsidR="00A871BE">
        <w:t xml:space="preserve"> </w:t>
      </w:r>
      <w:r>
        <w:t xml:space="preserve"> based</w:t>
      </w:r>
      <w:proofErr w:type="gramEnd"/>
      <w:r>
        <w:t xml:space="preserve"> on </w:t>
      </w:r>
      <w:r w:rsidR="00A871BE">
        <w:t xml:space="preserve">both </w:t>
      </w:r>
      <w:r>
        <w:t xml:space="preserve">High Emissions (0.5 </w:t>
      </w:r>
      <w:proofErr w:type="spellStart"/>
      <w:r>
        <w:t>G</w:t>
      </w:r>
      <w:r w:rsidR="00A871BE">
        <w:t>tC</w:t>
      </w:r>
      <w:proofErr w:type="spellEnd"/>
      <w:r w:rsidR="00A871BE">
        <w:t xml:space="preserve">) and Low Emissions (1.1 </w:t>
      </w:r>
      <w:proofErr w:type="spellStart"/>
      <w:r w:rsidR="00A871BE">
        <w:t>GtC</w:t>
      </w:r>
      <w:proofErr w:type="spellEnd"/>
      <w:r>
        <w:t>)</w:t>
      </w:r>
      <w:r w:rsidR="00A871BE">
        <w:t xml:space="preserve"> projections</w:t>
      </w:r>
      <w:r>
        <w:t xml:space="preserve">. These estimates were then averaged to a single estimate (0.8 </w:t>
      </w:r>
      <w:proofErr w:type="spellStart"/>
      <w:r>
        <w:t>Gtonnes</w:t>
      </w:r>
      <w:proofErr w:type="spellEnd"/>
      <w:r>
        <w:t xml:space="preserve"> of Carbon). </w:t>
      </w:r>
    </w:p>
    <w:p w:rsidR="00A30F4E" w:rsidRDefault="006A2F0E" w:rsidP="006A2F0E">
      <w:pPr>
        <w:pStyle w:val="Heading2"/>
      </w:pPr>
      <w:r>
        <w:t>Interpolation</w:t>
      </w:r>
    </w:p>
    <w:p w:rsidR="009609F2" w:rsidRDefault="00DC55AB" w:rsidP="00DC55AB">
      <w:r>
        <w:t>As discussed above, when estimates were not given for both 2020 and 2030, we had to interpolate for these years based on the giv</w:t>
      </w:r>
      <w:r w:rsidR="008D7C0D">
        <w:t>en information. For instance,</w:t>
      </w:r>
      <w:r>
        <w:t xml:space="preserve"> C</w:t>
      </w:r>
      <w:r w:rsidR="008D7C0D">
        <w:t>reyts et al 2007 did not present</w:t>
      </w:r>
      <w:r>
        <w:t xml:space="preserve"> explicit number</w:t>
      </w:r>
      <w:r w:rsidR="008D7C0D">
        <w:t>s for either year, but</w:t>
      </w:r>
      <w:r>
        <w:t xml:space="preserve"> interpolation was </w:t>
      </w:r>
      <w:r w:rsidR="008D7C0D">
        <w:t>possible based</w:t>
      </w:r>
      <w:r>
        <w:t xml:space="preserve"> on </w:t>
      </w:r>
      <w:r w:rsidR="008D7C0D">
        <w:t xml:space="preserve">the </w:t>
      </w:r>
      <w:r>
        <w:t>given annual percentage change rate</w:t>
      </w:r>
      <w:r w:rsidR="00E6064D">
        <w:t xml:space="preserve"> for both reference and abatement scenarios</w:t>
      </w:r>
      <w:r>
        <w:t>.</w:t>
      </w:r>
      <w:r w:rsidR="008D7C0D">
        <w:t xml:space="preserve"> In </w:t>
      </w:r>
      <w:r w:rsidR="00E6064D">
        <w:t>cases where only</w:t>
      </w:r>
      <w:r w:rsidR="008D7C0D">
        <w:t xml:space="preserve"> numbers for 2030 were given</w:t>
      </w:r>
      <w:r w:rsidR="004E063F">
        <w:t xml:space="preserve"> (</w:t>
      </w:r>
      <w:proofErr w:type="spellStart"/>
      <w:r w:rsidR="004E063F">
        <w:t>eg</w:t>
      </w:r>
      <w:proofErr w:type="spellEnd"/>
      <w:r w:rsidR="004E063F">
        <w:t xml:space="preserve">. </w:t>
      </w:r>
      <w:proofErr w:type="spellStart"/>
      <w:r w:rsidR="004E063F">
        <w:t>Woetzel</w:t>
      </w:r>
      <w:proofErr w:type="spellEnd"/>
      <w:r w:rsidR="004E063F">
        <w:t xml:space="preserve"> et al 2009) we identified 2020 estimates as not available (“N/A”)</w:t>
      </w:r>
      <w:r w:rsidR="008D7C0D">
        <w:t xml:space="preserve">.  </w:t>
      </w:r>
    </w:p>
    <w:p w:rsidR="009609F2" w:rsidRDefault="009609F2" w:rsidP="00C36D1E">
      <w:pPr>
        <w:pStyle w:val="Heading1"/>
      </w:pPr>
      <w:r>
        <w:t>Limitations</w:t>
      </w:r>
    </w:p>
    <w:p w:rsidR="006A58E7" w:rsidRDefault="009609F2" w:rsidP="00DC55AB">
      <w:r>
        <w:t xml:space="preserve">Our estimates are limited by availability, scope, </w:t>
      </w:r>
      <w:r w:rsidR="0046319D">
        <w:t xml:space="preserve">and </w:t>
      </w:r>
      <w:r>
        <w:t>quality</w:t>
      </w:r>
      <w:r w:rsidR="0046319D">
        <w:t>.</w:t>
      </w:r>
      <w:r>
        <w:t xml:space="preserve"> </w:t>
      </w:r>
      <w:r w:rsidR="0046319D">
        <w:t xml:space="preserve">Literature for </w:t>
      </w:r>
      <w:r>
        <w:t xml:space="preserve">GHG emission abatement </w:t>
      </w:r>
      <w:r w:rsidR="0046319D">
        <w:t>exists for some sectors more than</w:t>
      </w:r>
      <w:r>
        <w:t xml:space="preserve"> </w:t>
      </w:r>
      <w:r w:rsidR="006A58E7">
        <w:t xml:space="preserve">for </w:t>
      </w:r>
      <w:r>
        <w:t>others.</w:t>
      </w:r>
      <w:r w:rsidR="0046319D">
        <w:t xml:space="preserve"> Land sector abatement is particularly complicated. While energy and transportation sectors track a one-way flow, trees</w:t>
      </w:r>
      <w:r w:rsidR="004E063F">
        <w:t>’</w:t>
      </w:r>
      <w:r w:rsidR="0046319D">
        <w:t xml:space="preserve"> ability to sequester carbon means the flow of carbon between forests and the atmosphere runs both ways</w:t>
      </w:r>
      <w:r w:rsidR="006A58E7">
        <w:t xml:space="preserve">. National datasets for land sector emissions, therefore, are less </w:t>
      </w:r>
      <w:r w:rsidR="004E063F">
        <w:t xml:space="preserve">likely to be </w:t>
      </w:r>
      <w:r w:rsidR="006A58E7">
        <w:t xml:space="preserve">reported on than for other sectors.  </w:t>
      </w:r>
    </w:p>
    <w:p w:rsidR="002652BA" w:rsidRDefault="006A58E7" w:rsidP="00DC55AB">
      <w:r>
        <w:t>Studies that do estimate land sector GHG abatement potential sometimes focus on specific land emissions sources, and do not report comprehensively. For instance, Wesselink et al 2009 only report</w:t>
      </w:r>
      <w:r w:rsidR="00DB1A90">
        <w:t>ed</w:t>
      </w:r>
      <w:r>
        <w:t xml:space="preserve"> </w:t>
      </w:r>
      <w:r w:rsidR="002652BA">
        <w:lastRenderedPageBreak/>
        <w:t>emissions from agriculture, where soils and fermentation are the main emissions sources, leaving emissions from forests and deforestation out of the reported results. This provides one part of a larger possibility for a country’s land sector emissions abatement.</w:t>
      </w:r>
    </w:p>
    <w:p w:rsidR="002652BA" w:rsidRDefault="002652BA" w:rsidP="00DC55AB">
      <w:r>
        <w:t>As previously discussed the quality</w:t>
      </w:r>
      <w:r w:rsidR="00DB1A90">
        <w:t xml:space="preserve"> of</w:t>
      </w:r>
      <w:r>
        <w:t xml:space="preserve"> our estimates vary depending on </w:t>
      </w:r>
      <w:r w:rsidR="00DB1A90">
        <w:t>whether estimates are given or must be interpolated, and whether the numbers that need to be interpolated are explicit in th</w:t>
      </w:r>
      <w:r w:rsidR="00C36D1E">
        <w:t xml:space="preserve">e text or whether they are </w:t>
      </w:r>
      <w:r w:rsidR="004E063F">
        <w:t xml:space="preserve">roughly </w:t>
      </w:r>
      <w:r w:rsidR="00C36D1E">
        <w:t>presented a</w:t>
      </w:r>
      <w:r w:rsidR="00DB1A90">
        <w:t xml:space="preserve"> graph, an</w:t>
      </w:r>
      <w:r w:rsidR="00C36D1E">
        <w:t>d therefore have to be visually determined</w:t>
      </w:r>
      <w:r w:rsidR="00DB1A90">
        <w:t>.</w:t>
      </w:r>
    </w:p>
    <w:p w:rsidR="00DC55AB" w:rsidRPr="00DC55AB" w:rsidRDefault="002652BA" w:rsidP="00DC55AB">
      <w:r>
        <w:t xml:space="preserve"> </w:t>
      </w:r>
    </w:p>
    <w:p w:rsidR="00A30F4E" w:rsidRDefault="00A30F4E" w:rsidP="00A30F4E">
      <w:pPr>
        <w:pBdr>
          <w:bottom w:val="single" w:sz="6" w:space="1" w:color="auto"/>
        </w:pBdr>
      </w:pPr>
    </w:p>
    <w:p w:rsidR="00A30F4E" w:rsidRDefault="006A2F0E" w:rsidP="006A2F0E">
      <w:pPr>
        <w:pStyle w:val="Heading1"/>
      </w:pPr>
      <w:r>
        <w:t>Tables</w:t>
      </w:r>
    </w:p>
    <w:p w:rsidR="00A30F4E" w:rsidRDefault="00A30F4E" w:rsidP="00A30F4E">
      <w:r>
        <w:t xml:space="preserve">Table 1 Keywords searched*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0F4E" w:rsidTr="00665CC9">
        <w:tc>
          <w:tcPr>
            <w:tcW w:w="4788" w:type="dxa"/>
          </w:tcPr>
          <w:p w:rsidR="001920C5" w:rsidRPr="001920C5" w:rsidRDefault="001920C5" w:rsidP="00665CC9"/>
          <w:p w:rsidR="00A30F4E" w:rsidRPr="00D74C01" w:rsidRDefault="00A30F4E" w:rsidP="00665CC9">
            <w:pPr>
              <w:rPr>
                <w:b/>
              </w:rPr>
            </w:pPr>
            <w:r w:rsidRPr="00D74C01">
              <w:rPr>
                <w:b/>
              </w:rPr>
              <w:t>Subject</w:t>
            </w:r>
          </w:p>
          <w:p w:rsidR="00A30F4E" w:rsidRDefault="00A30F4E" w:rsidP="00665CC9">
            <w:r>
              <w:t>Greenhouse Gas Emissions (GHG)</w:t>
            </w:r>
          </w:p>
          <w:p w:rsidR="00A30F4E" w:rsidRDefault="00A30F4E" w:rsidP="00665CC9">
            <w:r>
              <w:t>Emissions</w:t>
            </w:r>
          </w:p>
          <w:p w:rsidR="00A30F4E" w:rsidRDefault="00A30F4E" w:rsidP="00665CC9">
            <w:r>
              <w:t>Carbon</w:t>
            </w:r>
          </w:p>
          <w:p w:rsidR="00A30F4E" w:rsidRDefault="00A30F4E" w:rsidP="00665CC9">
            <w:r>
              <w:t>Climate</w:t>
            </w:r>
          </w:p>
          <w:p w:rsidR="00A30F4E" w:rsidRDefault="00A30F4E" w:rsidP="00665CC9">
            <w:r>
              <w:t>Low-Carbon</w:t>
            </w:r>
          </w:p>
          <w:p w:rsidR="00A30F4E" w:rsidRDefault="00A30F4E" w:rsidP="00665CC9">
            <w:r>
              <w:t>Land Use</w:t>
            </w:r>
          </w:p>
          <w:p w:rsidR="00A30F4E" w:rsidRDefault="00A30F4E" w:rsidP="00665CC9">
            <w:r>
              <w:t>Land Cover</w:t>
            </w:r>
          </w:p>
          <w:p w:rsidR="00A30F4E" w:rsidRDefault="00A30F4E" w:rsidP="00665CC9">
            <w:r>
              <w:t>Forest</w:t>
            </w:r>
          </w:p>
          <w:p w:rsidR="00A30F4E" w:rsidRDefault="00A30F4E" w:rsidP="00665CC9">
            <w:r>
              <w:t>Agriculture</w:t>
            </w:r>
          </w:p>
          <w:p w:rsidR="00A30F4E" w:rsidRDefault="00A30F4E" w:rsidP="00665CC9">
            <w:r>
              <w:t>LUC</w:t>
            </w:r>
            <w:r w:rsidR="00D23938">
              <w:t xml:space="preserve"> (F)</w:t>
            </w:r>
          </w:p>
          <w:p w:rsidR="00D23938" w:rsidRDefault="00D23938" w:rsidP="00665CC9">
            <w:r>
              <w:t>LULUC(F)</w:t>
            </w:r>
          </w:p>
          <w:p w:rsidR="00A30F4E" w:rsidRDefault="00A30F4E" w:rsidP="00665CC9">
            <w:r>
              <w:t>AFOLU</w:t>
            </w:r>
          </w:p>
          <w:p w:rsidR="001920C5" w:rsidRDefault="001920C5" w:rsidP="00665CC9">
            <w:r>
              <w:t>[Country under investigation]</w:t>
            </w:r>
          </w:p>
          <w:p w:rsidR="00A30F4E" w:rsidRDefault="00A30F4E" w:rsidP="00665CC9"/>
          <w:p w:rsidR="00A30F4E" w:rsidRDefault="00A30F4E" w:rsidP="00665CC9"/>
        </w:tc>
        <w:tc>
          <w:tcPr>
            <w:tcW w:w="4788" w:type="dxa"/>
          </w:tcPr>
          <w:p w:rsidR="00A30F4E" w:rsidRPr="00D74C01" w:rsidRDefault="00A30F4E" w:rsidP="00665CC9">
            <w:pPr>
              <w:rPr>
                <w:b/>
              </w:rPr>
            </w:pPr>
            <w:r w:rsidRPr="00D74C01">
              <w:rPr>
                <w:b/>
              </w:rPr>
              <w:t>Concept</w:t>
            </w:r>
          </w:p>
          <w:p w:rsidR="00A30F4E" w:rsidRDefault="00A30F4E" w:rsidP="00665CC9">
            <w:r>
              <w:t>Pathways</w:t>
            </w:r>
          </w:p>
          <w:p w:rsidR="00A30F4E" w:rsidRDefault="00A30F4E" w:rsidP="00665CC9">
            <w:r>
              <w:t>Model</w:t>
            </w:r>
          </w:p>
          <w:p w:rsidR="00A30F4E" w:rsidRDefault="00A30F4E" w:rsidP="00665CC9">
            <w:r>
              <w:t>Abatement</w:t>
            </w:r>
          </w:p>
          <w:p w:rsidR="00A30F4E" w:rsidRDefault="00A30F4E" w:rsidP="00665CC9">
            <w:r>
              <w:t>Mitigation</w:t>
            </w:r>
          </w:p>
          <w:p w:rsidR="00A30F4E" w:rsidRDefault="00A30F4E" w:rsidP="00665CC9">
            <w:r>
              <w:t>Reduction</w:t>
            </w:r>
          </w:p>
          <w:p w:rsidR="00A30F4E" w:rsidRDefault="00A30F4E" w:rsidP="00665CC9">
            <w:r>
              <w:t>Potential</w:t>
            </w:r>
          </w:p>
          <w:p w:rsidR="00A30F4E" w:rsidRDefault="00A30F4E" w:rsidP="00665CC9">
            <w:r>
              <w:t>Projections</w:t>
            </w:r>
          </w:p>
          <w:p w:rsidR="00D23938" w:rsidRDefault="00D23938" w:rsidP="00665CC9">
            <w:r>
              <w:t>Scenario</w:t>
            </w:r>
          </w:p>
          <w:p w:rsidR="00A30F4E" w:rsidRDefault="00A30F4E" w:rsidP="00665CC9">
            <w:r>
              <w:t>2020</w:t>
            </w:r>
          </w:p>
          <w:p w:rsidR="00A30F4E" w:rsidRDefault="00A30F4E" w:rsidP="00665CC9">
            <w:r>
              <w:t>2030</w:t>
            </w:r>
          </w:p>
          <w:p w:rsidR="00A30F4E" w:rsidRDefault="00A30F4E" w:rsidP="00665CC9"/>
          <w:p w:rsidR="00A30F4E" w:rsidRDefault="00A30F4E" w:rsidP="00665CC9">
            <w:pPr>
              <w:rPr>
                <w:b/>
              </w:rPr>
            </w:pPr>
            <w:r>
              <w:rPr>
                <w:b/>
              </w:rPr>
              <w:t xml:space="preserve">Popular </w:t>
            </w:r>
            <w:r w:rsidRPr="00D74C01">
              <w:rPr>
                <w:b/>
              </w:rPr>
              <w:t>Mitigation Policies</w:t>
            </w:r>
          </w:p>
          <w:p w:rsidR="00A30F4E" w:rsidRDefault="00A30F4E" w:rsidP="00665CC9">
            <w:r>
              <w:t>Reforestation</w:t>
            </w:r>
          </w:p>
          <w:p w:rsidR="00A30F4E" w:rsidRDefault="00A30F4E" w:rsidP="00665CC9">
            <w:r>
              <w:t>Afforestation</w:t>
            </w:r>
          </w:p>
          <w:p w:rsidR="00A30F4E" w:rsidRDefault="00A30F4E" w:rsidP="00665CC9">
            <w:r>
              <w:t>Deforestation (Reduction/Mitigation/Abatement)</w:t>
            </w:r>
          </w:p>
          <w:p w:rsidR="00A30F4E" w:rsidRDefault="00A30F4E" w:rsidP="00665CC9">
            <w:r>
              <w:t>Forest Management</w:t>
            </w:r>
          </w:p>
          <w:p w:rsidR="00A30F4E" w:rsidRDefault="00A30F4E" w:rsidP="00665CC9">
            <w:r>
              <w:t>Agriculture (Intensification)</w:t>
            </w:r>
          </w:p>
          <w:p w:rsidR="00A30F4E" w:rsidRPr="00D74C01" w:rsidRDefault="00A30F4E" w:rsidP="00665CC9">
            <w:r>
              <w:t>Cattle (Intensification)</w:t>
            </w:r>
          </w:p>
        </w:tc>
      </w:tr>
    </w:tbl>
    <w:p w:rsidR="00A30F4E" w:rsidRDefault="00A30F4E" w:rsidP="00A30F4E">
      <w:pPr>
        <w:pStyle w:val="ListParagraph"/>
        <w:numPr>
          <w:ilvl w:val="0"/>
          <w:numId w:val="2"/>
        </w:numPr>
      </w:pPr>
      <w:r>
        <w:t>Where possible, roots of words were truncated to generate wider results.</w:t>
      </w:r>
    </w:p>
    <w:p w:rsidR="001920C5" w:rsidRDefault="001920C5" w:rsidP="001920C5">
      <w:pPr>
        <w:pStyle w:val="ListParagraph"/>
      </w:pPr>
    </w:p>
    <w:p w:rsidR="00A30F4E" w:rsidRDefault="00A30F4E" w:rsidP="00A30F4E">
      <w:proofErr w:type="gramStart"/>
      <w:r>
        <w:t>Table 2.</w:t>
      </w:r>
      <w:proofErr w:type="gramEnd"/>
      <w:r>
        <w:t xml:space="preserve"> Studies included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4124F" w:rsidTr="0024124F">
        <w:tc>
          <w:tcPr>
            <w:tcW w:w="9576" w:type="dxa"/>
          </w:tcPr>
          <w:p w:rsidR="0024124F" w:rsidRPr="0024124F" w:rsidRDefault="0024124F" w:rsidP="0024124F">
            <w:r>
              <w:t xml:space="preserve">Bajželj </w:t>
            </w:r>
            <w:r w:rsidRPr="0024124F">
              <w:t>et al</w:t>
            </w:r>
            <w:r>
              <w:t>,</w:t>
            </w:r>
            <w:r w:rsidRPr="0024124F">
              <w:t xml:space="preserve"> </w:t>
            </w:r>
            <w:r w:rsidRPr="0024124F">
              <w:rPr>
                <w:i/>
              </w:rPr>
              <w:t>Nature Climate Change</w:t>
            </w:r>
            <w:r w:rsidRPr="0024124F">
              <w:t>, 2014: 924-929.</w:t>
            </w:r>
          </w:p>
          <w:p w:rsidR="0024124F" w:rsidRDefault="0024124F" w:rsidP="0024124F">
            <w:r w:rsidRPr="0024124F">
              <w:t>Creyts</w:t>
            </w:r>
            <w:r>
              <w:t xml:space="preserve"> et al</w:t>
            </w:r>
            <w:r w:rsidRPr="0024124F">
              <w:t xml:space="preserve">, </w:t>
            </w:r>
            <w:r w:rsidRPr="0024124F">
              <w:rPr>
                <w:i/>
              </w:rPr>
              <w:t>McKinsey &amp; Company</w:t>
            </w:r>
            <w:r>
              <w:t>, 2007.</w:t>
            </w:r>
          </w:p>
          <w:p w:rsidR="00ED7797" w:rsidRDefault="00ED7797" w:rsidP="00ED7797">
            <w:r>
              <w:t xml:space="preserve">De </w:t>
            </w:r>
            <w:proofErr w:type="spellStart"/>
            <w:r>
              <w:t>Gouvello</w:t>
            </w:r>
            <w:proofErr w:type="spellEnd"/>
            <w:r>
              <w:t xml:space="preserve">, </w:t>
            </w:r>
            <w:r>
              <w:rPr>
                <w:i/>
              </w:rPr>
              <w:t>Clean Energy Solutions Center</w:t>
            </w:r>
            <w:r>
              <w:t>, 2010</w:t>
            </w:r>
          </w:p>
          <w:p w:rsidR="00ED7797" w:rsidRPr="0024124F" w:rsidRDefault="00ED7797" w:rsidP="00ED7797">
            <w:r w:rsidRPr="0024124F">
              <w:t>Gupta</w:t>
            </w:r>
            <w:r>
              <w:t xml:space="preserve"> et al</w:t>
            </w:r>
            <w:r w:rsidRPr="0024124F">
              <w:t xml:space="preserve">, </w:t>
            </w:r>
            <w:r w:rsidRPr="0024124F">
              <w:rPr>
                <w:i/>
              </w:rPr>
              <w:t>McKinsey &amp; Company</w:t>
            </w:r>
            <w:r w:rsidRPr="0024124F">
              <w:t>, 2009.</w:t>
            </w:r>
          </w:p>
          <w:p w:rsidR="0024124F" w:rsidRPr="0024124F" w:rsidRDefault="0024124F" w:rsidP="0024124F">
            <w:r w:rsidRPr="0024124F">
              <w:t>Indonesian national Council on Climate Change, 2010.</w:t>
            </w:r>
          </w:p>
          <w:p w:rsidR="0024124F" w:rsidRDefault="0024124F" w:rsidP="0024124F">
            <w:r w:rsidRPr="0024124F">
              <w:t>Johnson</w:t>
            </w:r>
            <w:r>
              <w:t xml:space="preserve"> et al</w:t>
            </w:r>
            <w:r w:rsidRPr="0024124F">
              <w:t xml:space="preserve">, </w:t>
            </w:r>
            <w:r w:rsidRPr="0024124F">
              <w:rPr>
                <w:i/>
              </w:rPr>
              <w:t>The World Bank</w:t>
            </w:r>
            <w:r w:rsidRPr="0024124F">
              <w:t>, 2009.</w:t>
            </w:r>
          </w:p>
          <w:p w:rsidR="00ED7797" w:rsidRPr="00ED7797" w:rsidRDefault="00ED7797" w:rsidP="0024124F">
            <w:proofErr w:type="spellStart"/>
            <w:r>
              <w:t>Masera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Intercencia</w:t>
            </w:r>
            <w:proofErr w:type="spellEnd"/>
            <w:r>
              <w:t>, 1995</w:t>
            </w:r>
          </w:p>
          <w:p w:rsidR="0024124F" w:rsidRPr="0024124F" w:rsidRDefault="0024124F" w:rsidP="0024124F">
            <w:r w:rsidRPr="0024124F">
              <w:lastRenderedPageBreak/>
              <w:t>McKinsey &amp; Company, 2009.</w:t>
            </w:r>
          </w:p>
          <w:p w:rsidR="0024124F" w:rsidRPr="0024124F" w:rsidRDefault="0024124F" w:rsidP="0024124F">
            <w:r w:rsidRPr="0024124F">
              <w:t>The Ministry of the Environment, Nature Conservation and Tourism</w:t>
            </w:r>
            <w:r>
              <w:t>,</w:t>
            </w:r>
            <w:r w:rsidRPr="0024124F">
              <w:t xml:space="preserve"> 2009.</w:t>
            </w:r>
          </w:p>
          <w:p w:rsidR="00ED7797" w:rsidRPr="0024124F" w:rsidRDefault="00ED7797" w:rsidP="00ED7797">
            <w:r w:rsidRPr="0024124F">
              <w:t>National Council on Climate Change</w:t>
            </w:r>
            <w:r>
              <w:t xml:space="preserve">, </w:t>
            </w:r>
            <w:r w:rsidRPr="0024124F">
              <w:t>2009.</w:t>
            </w:r>
          </w:p>
          <w:p w:rsidR="00ED7797" w:rsidRPr="00ED7797" w:rsidRDefault="00ED7797" w:rsidP="0024124F">
            <w:proofErr w:type="spellStart"/>
            <w:r>
              <w:t>Strassburg</w:t>
            </w:r>
            <w:proofErr w:type="spellEnd"/>
            <w:r>
              <w:t xml:space="preserve"> et al, </w:t>
            </w:r>
            <w:r>
              <w:rPr>
                <w:i/>
              </w:rPr>
              <w:t>Global Environmental Change</w:t>
            </w:r>
            <w:r>
              <w:t>, 2014</w:t>
            </w:r>
          </w:p>
          <w:p w:rsidR="0024124F" w:rsidRPr="0024124F" w:rsidRDefault="0024124F" w:rsidP="0024124F">
            <w:proofErr w:type="spellStart"/>
            <w:r w:rsidRPr="0024124F">
              <w:t>Wesselink</w:t>
            </w:r>
            <w:proofErr w:type="spellEnd"/>
            <w:r>
              <w:t xml:space="preserve"> and Deng</w:t>
            </w:r>
            <w:r w:rsidRPr="0024124F">
              <w:t xml:space="preserve">, </w:t>
            </w:r>
            <w:r w:rsidRPr="0024124F">
              <w:rPr>
                <w:i/>
              </w:rPr>
              <w:t>ECOFYS</w:t>
            </w:r>
            <w:r w:rsidRPr="0024124F">
              <w:t>, 2009.</w:t>
            </w:r>
          </w:p>
          <w:p w:rsidR="0024124F" w:rsidRDefault="0024124F" w:rsidP="0024124F">
            <w:proofErr w:type="spellStart"/>
            <w:r w:rsidRPr="0024124F">
              <w:t>Woetzel</w:t>
            </w:r>
            <w:proofErr w:type="spellEnd"/>
            <w:r>
              <w:t xml:space="preserve"> et al</w:t>
            </w:r>
            <w:r w:rsidRPr="0024124F">
              <w:t xml:space="preserve">, </w:t>
            </w:r>
            <w:r w:rsidRPr="0024124F">
              <w:rPr>
                <w:i/>
              </w:rPr>
              <w:t>McKinsey &amp; Company</w:t>
            </w:r>
            <w:r w:rsidRPr="0024124F">
              <w:t>, 2009.</w:t>
            </w:r>
          </w:p>
        </w:tc>
      </w:tr>
    </w:tbl>
    <w:p w:rsidR="0024124F" w:rsidRDefault="0024124F" w:rsidP="00A30F4E"/>
    <w:p w:rsidR="003442C0" w:rsidRDefault="003442C0" w:rsidP="00A30F4E">
      <w:proofErr w:type="gramStart"/>
      <w:r>
        <w:t>Table 3.</w:t>
      </w:r>
      <w:proofErr w:type="gramEnd"/>
      <w:r>
        <w:t xml:space="preserve"> Estimate Quality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25AEF" w:rsidTr="00025AEF">
        <w:tc>
          <w:tcPr>
            <w:tcW w:w="2394" w:type="dxa"/>
          </w:tcPr>
          <w:p w:rsidR="00025AEF" w:rsidRDefault="00025AEF" w:rsidP="00A30F4E"/>
          <w:p w:rsidR="003442C0" w:rsidRDefault="003442C0" w:rsidP="00A30F4E"/>
        </w:tc>
        <w:tc>
          <w:tcPr>
            <w:tcW w:w="2394" w:type="dxa"/>
          </w:tcPr>
          <w:p w:rsidR="00025AEF" w:rsidRDefault="00025AEF" w:rsidP="00A30F4E">
            <w:r>
              <w:t>Very Good</w:t>
            </w:r>
          </w:p>
        </w:tc>
        <w:tc>
          <w:tcPr>
            <w:tcW w:w="2394" w:type="dxa"/>
          </w:tcPr>
          <w:p w:rsidR="00025AEF" w:rsidRDefault="00025AEF" w:rsidP="00A30F4E">
            <w:r>
              <w:t>Good</w:t>
            </w:r>
          </w:p>
        </w:tc>
        <w:tc>
          <w:tcPr>
            <w:tcW w:w="2394" w:type="dxa"/>
          </w:tcPr>
          <w:p w:rsidR="00025AEF" w:rsidRDefault="00025AEF" w:rsidP="00A30F4E">
            <w:r>
              <w:t>Poor</w:t>
            </w:r>
          </w:p>
        </w:tc>
      </w:tr>
      <w:tr w:rsidR="00025AEF" w:rsidTr="00025AEF">
        <w:tc>
          <w:tcPr>
            <w:tcW w:w="2394" w:type="dxa"/>
          </w:tcPr>
          <w:p w:rsidR="00025AEF" w:rsidRDefault="003442C0" w:rsidP="00A30F4E">
            <w:r>
              <w:t>Estimates are stated for 2020 and2030 (no need for interpolation)</w:t>
            </w:r>
          </w:p>
        </w:tc>
        <w:tc>
          <w:tcPr>
            <w:tcW w:w="2394" w:type="dxa"/>
          </w:tcPr>
          <w:p w:rsidR="00025AEF" w:rsidRDefault="003442C0" w:rsidP="00A30F4E">
            <w:r>
              <w:t>X</w:t>
            </w:r>
          </w:p>
        </w:tc>
        <w:tc>
          <w:tcPr>
            <w:tcW w:w="2394" w:type="dxa"/>
          </w:tcPr>
          <w:p w:rsidR="00025AEF" w:rsidRDefault="00025AEF" w:rsidP="00A30F4E"/>
        </w:tc>
        <w:tc>
          <w:tcPr>
            <w:tcW w:w="2394" w:type="dxa"/>
          </w:tcPr>
          <w:p w:rsidR="00025AEF" w:rsidRDefault="00025AEF" w:rsidP="00A30F4E"/>
        </w:tc>
      </w:tr>
      <w:tr w:rsidR="003442C0" w:rsidTr="00025AEF">
        <w:tc>
          <w:tcPr>
            <w:tcW w:w="2394" w:type="dxa"/>
          </w:tcPr>
          <w:p w:rsidR="003442C0" w:rsidRDefault="003442C0" w:rsidP="003442C0">
            <w:r>
              <w:t>Estimates not stated for 2020 and 2030, but available information can facilitate interpolation</w:t>
            </w:r>
          </w:p>
        </w:tc>
        <w:tc>
          <w:tcPr>
            <w:tcW w:w="2394" w:type="dxa"/>
          </w:tcPr>
          <w:p w:rsidR="003442C0" w:rsidRDefault="003442C0" w:rsidP="00A30F4E"/>
        </w:tc>
        <w:tc>
          <w:tcPr>
            <w:tcW w:w="2394" w:type="dxa"/>
          </w:tcPr>
          <w:p w:rsidR="003442C0" w:rsidRDefault="003442C0" w:rsidP="00A30F4E">
            <w:r>
              <w:t>X</w:t>
            </w:r>
          </w:p>
        </w:tc>
        <w:tc>
          <w:tcPr>
            <w:tcW w:w="2394" w:type="dxa"/>
          </w:tcPr>
          <w:p w:rsidR="003442C0" w:rsidRDefault="00CD3749" w:rsidP="00A30F4E">
            <w:r>
              <w:t>X</w:t>
            </w:r>
          </w:p>
        </w:tc>
      </w:tr>
      <w:tr w:rsidR="00025AEF" w:rsidTr="00025AEF">
        <w:tc>
          <w:tcPr>
            <w:tcW w:w="2394" w:type="dxa"/>
          </w:tcPr>
          <w:p w:rsidR="00025AEF" w:rsidRDefault="003442C0" w:rsidP="00A30F4E">
            <w:r>
              <w:t>Estimates explicit in text</w:t>
            </w:r>
            <w:r w:rsidR="00CD3749">
              <w:t xml:space="preserve"> or table</w:t>
            </w:r>
            <w:r>
              <w:t xml:space="preserve"> (not graph)</w:t>
            </w:r>
          </w:p>
        </w:tc>
        <w:tc>
          <w:tcPr>
            <w:tcW w:w="2394" w:type="dxa"/>
          </w:tcPr>
          <w:p w:rsidR="00025AEF" w:rsidRDefault="003442C0" w:rsidP="00A30F4E">
            <w:r>
              <w:t>X</w:t>
            </w:r>
          </w:p>
        </w:tc>
        <w:tc>
          <w:tcPr>
            <w:tcW w:w="2394" w:type="dxa"/>
          </w:tcPr>
          <w:p w:rsidR="00025AEF" w:rsidRDefault="003442C0" w:rsidP="00A30F4E">
            <w:r>
              <w:t>X</w:t>
            </w:r>
          </w:p>
        </w:tc>
        <w:tc>
          <w:tcPr>
            <w:tcW w:w="2394" w:type="dxa"/>
          </w:tcPr>
          <w:p w:rsidR="00025AEF" w:rsidRDefault="00025AEF" w:rsidP="00A30F4E"/>
        </w:tc>
      </w:tr>
      <w:tr w:rsidR="003442C0" w:rsidTr="00025AEF">
        <w:tc>
          <w:tcPr>
            <w:tcW w:w="2394" w:type="dxa"/>
          </w:tcPr>
          <w:p w:rsidR="003442C0" w:rsidRDefault="003442C0" w:rsidP="00A30F4E">
            <w:r>
              <w:t>Estimate</w:t>
            </w:r>
            <w:r w:rsidR="00480E1E">
              <w:t>s not explicit in text</w:t>
            </w:r>
            <w:r w:rsidR="00CD3749">
              <w:t xml:space="preserve"> or table</w:t>
            </w:r>
            <w:r w:rsidR="00480E1E">
              <w:t>, but 2020 and 2030 numbers can be interpolated from visual graphs</w:t>
            </w:r>
          </w:p>
        </w:tc>
        <w:tc>
          <w:tcPr>
            <w:tcW w:w="2394" w:type="dxa"/>
          </w:tcPr>
          <w:p w:rsidR="003442C0" w:rsidRDefault="003442C0" w:rsidP="00A30F4E"/>
        </w:tc>
        <w:tc>
          <w:tcPr>
            <w:tcW w:w="2394" w:type="dxa"/>
          </w:tcPr>
          <w:p w:rsidR="003442C0" w:rsidRDefault="003442C0" w:rsidP="00A30F4E"/>
        </w:tc>
        <w:tc>
          <w:tcPr>
            <w:tcW w:w="2394" w:type="dxa"/>
          </w:tcPr>
          <w:p w:rsidR="003442C0" w:rsidRDefault="00480E1E" w:rsidP="00A30F4E">
            <w:r>
              <w:t>X</w:t>
            </w:r>
          </w:p>
        </w:tc>
      </w:tr>
    </w:tbl>
    <w:p w:rsidR="00025AEF" w:rsidRDefault="00025AEF" w:rsidP="00A30F4E"/>
    <w:p w:rsidR="0024124F" w:rsidRDefault="00C51BE8" w:rsidP="006A2F0E">
      <w:pPr>
        <w:pStyle w:val="Heading1"/>
      </w:pPr>
      <w:r>
        <w:t>References</w:t>
      </w:r>
    </w:p>
    <w:p w:rsidR="0055391C" w:rsidRDefault="00704EC3" w:rsidP="0055391C">
      <w:pPr>
        <w:pStyle w:val="Bibliography"/>
        <w:ind w:left="720" w:hanging="720"/>
        <w:rPr>
          <w:noProof/>
        </w:rPr>
      </w:pPr>
      <w:r>
        <w:rPr>
          <w:lang w:eastAsia="ja-JP"/>
        </w:rPr>
        <w:fldChar w:fldCharType="begin"/>
      </w:r>
      <w:r>
        <w:rPr>
          <w:lang w:eastAsia="ja-JP"/>
        </w:rPr>
        <w:instrText xml:space="preserve"> BIBLIOGRAPHY  \l 1033 </w:instrText>
      </w:r>
      <w:r>
        <w:rPr>
          <w:lang w:eastAsia="ja-JP"/>
        </w:rPr>
        <w:fldChar w:fldCharType="separate"/>
      </w:r>
      <w:r w:rsidR="0055391C">
        <w:rPr>
          <w:noProof/>
        </w:rPr>
        <w:t xml:space="preserve">Bajželj, Bojana, et al. "Importance of food-demand management for climate mitigation." </w:t>
      </w:r>
      <w:r w:rsidR="0055391C">
        <w:rPr>
          <w:i/>
          <w:iCs/>
          <w:noProof/>
        </w:rPr>
        <w:t>Nature Climate Change</w:t>
      </w:r>
      <w:r w:rsidR="0055391C">
        <w:rPr>
          <w:noProof/>
        </w:rPr>
        <w:t xml:space="preserve"> (2014): 924-929.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Creyts, Jon, Anton Derkach and Scott Nyquist. "Reducing U.S. Greenhouse Gas Emissions: How Much at What Cost? U.S. Greenhouse Gas Abatement Mapping Initiative." Executive Report. 2007.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 xml:space="preserve">de Gouvello, Christophe. "Brazil Low-Carbon Country Case Study." 2010. </w:t>
      </w:r>
      <w:r>
        <w:rPr>
          <w:i/>
          <w:iCs/>
          <w:noProof/>
        </w:rPr>
        <w:t>Clean Energy Solutions Center.</w:t>
      </w:r>
      <w:r>
        <w:rPr>
          <w:noProof/>
        </w:rPr>
        <w:t xml:space="preserve"> Report. 21 November 2014.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Dewan Nasional Perubahan Iklim. "Indonsia's Greenhouse Gas Abatement Cost Curve." 2010.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 xml:space="preserve">Gupta, Rajat, Shirish Sankhe and Sahana Sarma. </w:t>
      </w:r>
      <w:r>
        <w:rPr>
          <w:i/>
          <w:iCs/>
          <w:noProof/>
        </w:rPr>
        <w:t>Environmental and Energy Sustainability: An Approach for India</w:t>
      </w:r>
      <w:r>
        <w:rPr>
          <w:noProof/>
        </w:rPr>
        <w:t>. New Delhi: McKinsey &amp; Company,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 xml:space="preserve">Johnson, Todd M., et al. </w:t>
      </w:r>
      <w:r>
        <w:rPr>
          <w:i/>
          <w:iCs/>
          <w:noProof/>
        </w:rPr>
        <w:t>Low Carbon Development for Mexico</w:t>
      </w:r>
      <w:r>
        <w:rPr>
          <w:noProof/>
        </w:rPr>
        <w:t>. Conference Edition. Washington, DC: The World Bank,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lastRenderedPageBreak/>
        <w:t xml:space="preserve">Masera, O.R. "Carbon Mitigation Scenarios for Mexican Forests: Methodological Considerations and Results." </w:t>
      </w:r>
      <w:r>
        <w:rPr>
          <w:i/>
          <w:iCs/>
          <w:noProof/>
        </w:rPr>
        <w:t>Intercencia</w:t>
      </w:r>
      <w:r>
        <w:rPr>
          <w:noProof/>
        </w:rPr>
        <w:t xml:space="preserve"> 1995: 388-395.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 xml:space="preserve">McKinsey. </w:t>
      </w:r>
      <w:r>
        <w:rPr>
          <w:i/>
          <w:iCs/>
          <w:noProof/>
        </w:rPr>
        <w:t>Pathways to a Low-Carbon Economy for Brazil</w:t>
      </w:r>
      <w:r>
        <w:rPr>
          <w:noProof/>
        </w:rPr>
        <w:t>. Sao Paulo: McKinsey &amp; Company,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National Council on Climate Change. "National Economic, Environment and Development Study (NEEDS) for Climate Change: Indonesia Country Study."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 xml:space="preserve">Strassburg, Bernardo B. N., et al. "When enough should be enough: Improving the use of current agricultural lands could meet production demands and spare natural habitats in Brazil." </w:t>
      </w:r>
      <w:r>
        <w:rPr>
          <w:i/>
          <w:iCs/>
          <w:noProof/>
        </w:rPr>
        <w:t>Global Environmental Change</w:t>
      </w:r>
      <w:r>
        <w:rPr>
          <w:noProof/>
        </w:rPr>
        <w:t xml:space="preserve"> (2014): 84-97.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The Ministry of the Environment, Nature Conservation and Tourism. "The Democratic Republic of congo's REDD+ Potential."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Wesselink, Bart and Yvonne Deng. "Sectoral Emission Reduction Potentials and Economic Costs for Climate Change." 2009.</w:t>
      </w:r>
    </w:p>
    <w:p w:rsidR="0055391C" w:rsidRDefault="0055391C" w:rsidP="0055391C">
      <w:pPr>
        <w:pStyle w:val="Bibliography"/>
        <w:ind w:left="720" w:hanging="720"/>
        <w:rPr>
          <w:noProof/>
        </w:rPr>
      </w:pPr>
      <w:r>
        <w:rPr>
          <w:noProof/>
        </w:rPr>
        <w:t>Woetzel, Jonathan, Martin Joerss and R. Bradley. "China's green revolution: prioritizing Technologies to achieve energy and environmental sustainability." 2009.</w:t>
      </w:r>
    </w:p>
    <w:p w:rsidR="00704EC3" w:rsidRPr="00704EC3" w:rsidRDefault="00704EC3" w:rsidP="0055391C">
      <w:pPr>
        <w:rPr>
          <w:lang w:eastAsia="ja-JP"/>
        </w:rPr>
      </w:pPr>
      <w:r>
        <w:rPr>
          <w:lang w:eastAsia="ja-JP"/>
        </w:rPr>
        <w:fldChar w:fldCharType="end"/>
      </w:r>
    </w:p>
    <w:sectPr w:rsidR="00704EC3" w:rsidRPr="0070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56" w:rsidRDefault="00605E56" w:rsidP="00DC55AB">
      <w:pPr>
        <w:spacing w:after="0" w:line="240" w:lineRule="auto"/>
      </w:pPr>
      <w:r>
        <w:separator/>
      </w:r>
    </w:p>
  </w:endnote>
  <w:endnote w:type="continuationSeparator" w:id="0">
    <w:p w:rsidR="00605E56" w:rsidRDefault="00605E56" w:rsidP="00D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56" w:rsidRDefault="00605E56" w:rsidP="00DC55AB">
      <w:pPr>
        <w:spacing w:after="0" w:line="240" w:lineRule="auto"/>
      </w:pPr>
      <w:r>
        <w:separator/>
      </w:r>
    </w:p>
  </w:footnote>
  <w:footnote w:type="continuationSeparator" w:id="0">
    <w:p w:rsidR="00605E56" w:rsidRDefault="00605E56" w:rsidP="00DC5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739"/>
    <w:multiLevelType w:val="hybridMultilevel"/>
    <w:tmpl w:val="72EE9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43DE3"/>
    <w:multiLevelType w:val="hybridMultilevel"/>
    <w:tmpl w:val="D266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00E5B"/>
    <w:multiLevelType w:val="hybridMultilevel"/>
    <w:tmpl w:val="DE609162"/>
    <w:lvl w:ilvl="0" w:tplc="484E2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A52D3"/>
    <w:multiLevelType w:val="hybridMultilevel"/>
    <w:tmpl w:val="C07028E0"/>
    <w:lvl w:ilvl="0" w:tplc="B6D6B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88"/>
    <w:rsid w:val="00003A3F"/>
    <w:rsid w:val="00025AEF"/>
    <w:rsid w:val="000B1CC7"/>
    <w:rsid w:val="001920C5"/>
    <w:rsid w:val="00223758"/>
    <w:rsid w:val="0024124F"/>
    <w:rsid w:val="002652BA"/>
    <w:rsid w:val="002B52BC"/>
    <w:rsid w:val="003442C0"/>
    <w:rsid w:val="0041403A"/>
    <w:rsid w:val="00414340"/>
    <w:rsid w:val="00433A83"/>
    <w:rsid w:val="0046319D"/>
    <w:rsid w:val="00463831"/>
    <w:rsid w:val="00467F67"/>
    <w:rsid w:val="00470C70"/>
    <w:rsid w:val="00480E1E"/>
    <w:rsid w:val="00483CCA"/>
    <w:rsid w:val="004B5732"/>
    <w:rsid w:val="004E063F"/>
    <w:rsid w:val="00541A99"/>
    <w:rsid w:val="0055391C"/>
    <w:rsid w:val="00605E56"/>
    <w:rsid w:val="0061167F"/>
    <w:rsid w:val="006A2F0E"/>
    <w:rsid w:val="006A58E7"/>
    <w:rsid w:val="00704EC3"/>
    <w:rsid w:val="00742D88"/>
    <w:rsid w:val="00747E86"/>
    <w:rsid w:val="00846481"/>
    <w:rsid w:val="0085443C"/>
    <w:rsid w:val="00896540"/>
    <w:rsid w:val="008C6C72"/>
    <w:rsid w:val="008D7C0D"/>
    <w:rsid w:val="00917A98"/>
    <w:rsid w:val="00936D42"/>
    <w:rsid w:val="009609F2"/>
    <w:rsid w:val="009C76C3"/>
    <w:rsid w:val="00A30F4E"/>
    <w:rsid w:val="00A871BE"/>
    <w:rsid w:val="00AF149F"/>
    <w:rsid w:val="00B723C3"/>
    <w:rsid w:val="00BA0302"/>
    <w:rsid w:val="00BC4830"/>
    <w:rsid w:val="00C23885"/>
    <w:rsid w:val="00C36D1E"/>
    <w:rsid w:val="00C51BE8"/>
    <w:rsid w:val="00C77CAB"/>
    <w:rsid w:val="00C85BE2"/>
    <w:rsid w:val="00CB4BFB"/>
    <w:rsid w:val="00CD3749"/>
    <w:rsid w:val="00D23938"/>
    <w:rsid w:val="00D74C01"/>
    <w:rsid w:val="00DB1A90"/>
    <w:rsid w:val="00DC55AB"/>
    <w:rsid w:val="00E03798"/>
    <w:rsid w:val="00E11F9D"/>
    <w:rsid w:val="00E124DD"/>
    <w:rsid w:val="00E34A40"/>
    <w:rsid w:val="00E6064D"/>
    <w:rsid w:val="00E70B48"/>
    <w:rsid w:val="00E86F96"/>
    <w:rsid w:val="00ED7797"/>
    <w:rsid w:val="00F31021"/>
    <w:rsid w:val="00F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30F4E"/>
  </w:style>
  <w:style w:type="character" w:customStyle="1" w:styleId="Heading1Char">
    <w:name w:val="Heading 1 Char"/>
    <w:basedOn w:val="DefaultParagraphFont"/>
    <w:link w:val="Heading1"/>
    <w:uiPriority w:val="9"/>
    <w:rsid w:val="00A30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A2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7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F6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5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5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30F4E"/>
  </w:style>
  <w:style w:type="character" w:customStyle="1" w:styleId="Heading1Char">
    <w:name w:val="Heading 1 Char"/>
    <w:basedOn w:val="DefaultParagraphFont"/>
    <w:link w:val="Heading1"/>
    <w:uiPriority w:val="9"/>
    <w:rsid w:val="00A30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A2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7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F6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5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5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Baj14</b:Tag>
    <b:SourceType>JournalArticle</b:SourceType>
    <b:Guid>{3E872FAF-7807-4425-895C-7E593541FE19}</b:Guid>
    <b:Title>Importance of food-demand management for climate mitigation</b:Title>
    <b:Year>2014</b:Year>
    <b:Author>
      <b:Author>
        <b:NameList>
          <b:Person>
            <b:Last>Bajželj</b:Last>
            <b:First>Bojana</b:First>
          </b:Person>
          <b:Person>
            <b:Last>Richards</b:Last>
            <b:Middle>S.</b:Middle>
            <b:First>Keith</b:First>
          </b:Person>
          <b:Person>
            <b:Last>Allwood</b:Last>
            <b:Middle>M.</b:Middle>
            <b:First>Julian</b:First>
          </b:Person>
          <b:Person>
            <b:Last>Smith</b:Last>
            <b:First>Pete</b:First>
          </b:Person>
          <b:Person>
            <b:Last>Dennis</b:Last>
            <b:Middle>S.</b:Middle>
            <b:First>John</b:First>
          </b:Person>
          <b:Person>
            <b:Last>Curmi</b:Last>
            <b:First>Elizabeth</b:First>
          </b:Person>
          <b:Person>
            <b:Last>Gilligan</b:Last>
            <b:Middle>A.</b:Middle>
            <b:First>Christopher</b:First>
          </b:Person>
        </b:NameList>
      </b:Author>
    </b:Author>
    <b:JournalName>Nature Climate Change</b:JournalName>
    <b:Pages>924-929</b:Pages>
    <b:RefOrder>1</b:RefOrder>
  </b:Source>
  <b:Source>
    <b:Tag>Woe09</b:Tag>
    <b:SourceType>Report</b:SourceType>
    <b:Guid>{41CB9A0A-5EAD-403A-B581-C05DFF2A6F83}</b:Guid>
    <b:Title>China's green revolution: prioritizing Technologies to achieve energy and environmental sustainability</b:Title>
    <b:Year>2009</b:Year>
    <b:Author>
      <b:Author>
        <b:NameList>
          <b:Person>
            <b:Last>Woetzel</b:Last>
            <b:First>Jonathan</b:First>
          </b:Person>
          <b:Person>
            <b:Last>Joerss</b:Last>
            <b:First>Martin</b:First>
          </b:Person>
          <b:Person>
            <b:Last>Bradley</b:Last>
            <b:First>R.</b:First>
          </b:Person>
        </b:NameList>
      </b:Author>
    </b:Author>
    <b:Publisher>McKinsey &amp; Company</b:Publisher>
    <b:RefOrder>2</b:RefOrder>
  </b:Source>
  <b:Source>
    <b:Tag>Gup09</b:Tag>
    <b:SourceType>Report</b:SourceType>
    <b:Guid>{834F3F5F-0149-4377-A9C2-4E223AC0966E}</b:Guid>
    <b:Title>Environmental and Energy Sustainability: An Approach for India</b:Title>
    <b:Year>2009</b:Year>
    <b:Publisher>McKinsey &amp; Company</b:Publisher>
    <b:City>New Delhi</b:City>
    <b:Author>
      <b:Author>
        <b:NameList>
          <b:Person>
            <b:Last>Gupta</b:Last>
            <b:First>Rajat</b:First>
          </b:Person>
          <b:Person>
            <b:Last>Sankhe</b:Last>
            <b:First>Shirish</b:First>
          </b:Person>
          <b:Person>
            <b:Last>Sarma</b:Last>
            <b:First>Sahana</b:First>
          </b:Person>
        </b:NameList>
      </b:Author>
    </b:Author>
    <b:RefOrder>3</b:RefOrder>
  </b:Source>
  <b:Source>
    <b:Tag>Wes09</b:Tag>
    <b:SourceType>Report</b:SourceType>
    <b:Guid>{4C8527B5-5C33-4AA9-8D88-A59AAB322C17}</b:Guid>
    <b:Title>Sectoral Emission Reduction Potentials and Economic Costs for Climate Change</b:Title>
    <b:Year>2009</b:Year>
    <b:Publisher>ECOFYS</b:Publisher>
    <b:Author>
      <b:Author>
        <b:NameList>
          <b:Person>
            <b:Last>Wesselink</b:Last>
            <b:First>Bart</b:First>
          </b:Person>
          <b:Person>
            <b:Last>Deng</b:Last>
            <b:First>Yvonne</b:First>
          </b:Person>
        </b:NameList>
      </b:Author>
    </b:Author>
    <b:RefOrder>4</b:RefOrder>
  </b:Source>
  <b:Source>
    <b:Tag>Joh09</b:Tag>
    <b:SourceType>Report</b:SourceType>
    <b:Guid>{7C959943-3D54-4246-BA40-41F262B79136}</b:Guid>
    <b:Title>Low Carbon Development for Mexico</b:Title>
    <b:Year>2009</b:Year>
    <b:Publisher>The World Bank</b:Publisher>
    <b:City>Washington, DC</b:City>
    <b:ThesisType>Conference Edition</b:ThesisType>
    <b:Author>
      <b:Author>
        <b:NameList>
          <b:Person>
            <b:Last>Johnson</b:Last>
            <b:Middle>M.</b:Middle>
            <b:First>Todd</b:First>
          </b:Person>
          <b:Person>
            <b:Last>Alatorre</b:Last>
            <b:First>Claudio</b:First>
          </b:Person>
          <b:Person>
            <b:Last>Romo</b:Last>
            <b:First>Zayra</b:First>
          </b:Person>
          <b:Person>
            <b:Last>Liu</b:Last>
            <b:First>Feng</b:First>
          </b:Person>
        </b:NameList>
      </b:Author>
    </b:Author>
    <b:RefOrder>5</b:RefOrder>
  </b:Source>
  <b:Source>
    <b:Tag>McK09</b:Tag>
    <b:SourceType>Report</b:SourceType>
    <b:Guid>{88BFC191-9B7B-43B3-B41F-B3F76E6C96E5}</b:Guid>
    <b:Title>Pathways to a Low-Carbon Economy for Brazil</b:Title>
    <b:Year>2009</b:Year>
    <b:Publisher>McKinsey &amp; Company</b:Publisher>
    <b:City>Sao Paulo</b:City>
    <b:Author>
      <b:Author>
        <b:Corporate>McKinsey</b:Corporate>
      </b:Author>
    </b:Author>
    <b:RefOrder>6</b:RefOrder>
  </b:Source>
  <b:Source>
    <b:Tag>Cre071</b:Tag>
    <b:SourceType>Report</b:SourceType>
    <b:Guid>{236A2EEE-98FD-4BFA-949F-F5A3092F90A4}</b:Guid>
    <b:Title>Reducing U.S. Greenhouse Gas Emissions: How Much at What Cost? U.S. Greenhouse Gas Abatement Mapping Initiative</b:Title>
    <b:Year>2007</b:Year>
    <b:Publisher>McKinsey &amp; Company</b:Publisher>
    <b:ThesisType>Executive Report</b:ThesisType>
    <b:Author>
      <b:Author>
        <b:NameList>
          <b:Person>
            <b:Last>Creyts</b:Last>
            <b:First>Jon</b:First>
          </b:Person>
          <b:Person>
            <b:Last>Derkach</b:Last>
            <b:First>Anton</b:First>
          </b:Person>
          <b:Person>
            <b:Last>Nyquist</b:Last>
            <b:First>Scott</b:First>
          </b:Person>
        </b:NameList>
      </b:Author>
    </b:Author>
    <b:RefOrder>7</b:RefOrder>
  </b:Source>
  <b:Source>
    <b:Tag>Dew10</b:Tag>
    <b:SourceType>Report</b:SourceType>
    <b:Guid>{C8FBA7BC-2310-4045-AFD6-B0E428040BDB}</b:Guid>
    <b:Author>
      <b:Author>
        <b:Corporate>Dewan Nasional Perubahan Iklim</b:Corporate>
      </b:Author>
    </b:Author>
    <b:Title>Indonsia's Greenhouse Gas Abatement Cost Curve</b:Title>
    <b:Year>2010</b:Year>
    <b:Publisher>Indonesian national Council on Climate Change</b:Publisher>
    <b:RefOrder>8</b:RefOrder>
  </b:Source>
  <b:Source>
    <b:Tag>Nat09</b:Tag>
    <b:SourceType>Report</b:SourceType>
    <b:Guid>{E11026F5-BBD7-4D0C-9CDB-6C4F944DFDC4}</b:Guid>
    <b:Title>National Economic, Environment and Development Study (NEEDS) for Climate Change: Indonesia Country Study</b:Title>
    <b:Year>2009</b:Year>
    <b:Publisher>National Council on Climate Change</b:Publisher>
    <b:Author>
      <b:Author>
        <b:Corporate>National Council on Climate Change</b:Corporate>
      </b:Author>
    </b:Author>
    <b:RefOrder>9</b:RefOrder>
  </b:Source>
  <b:Source>
    <b:Tag>Min09</b:Tag>
    <b:SourceType>Report</b:SourceType>
    <b:Guid>{0CF41FAC-CDBF-4103-95D4-10843A2F93A6}</b:Guid>
    <b:Author>
      <b:Author>
        <b:Corporate>The Ministry of the Environment, Nature Conservation and Tourism</b:Corporate>
      </b:Author>
    </b:Author>
    <b:Title>The Democratic Republic of congo's REDD+ Potential</b:Title>
    <b:Year>2009</b:Year>
    <b:RefOrder>10</b:RefOrder>
  </b:Source>
  <b:Source>
    <b:Tag>ORM95</b:Tag>
    <b:SourceType>ArticleInAPeriodical</b:SourceType>
    <b:Guid>{7757267F-C7DF-43AE-9AC1-99C7DAB00512}</b:Guid>
    <b:Author>
      <b:Author>
        <b:NameList>
          <b:Person>
            <b:Last>Masera</b:Last>
            <b:First>O.R.</b:First>
          </b:Person>
        </b:NameList>
      </b:Author>
    </b:Author>
    <b:Title>Carbon Mitigation Scenarios for Mexican Forests: Methodological Considerations and Results</b:Title>
    <b:Year>1995</b:Year>
    <b:PeriodicalTitle>Intercencia</b:PeriodicalTitle>
    <b:Pages>388-395</b:Pages>
    <b:RefOrder>11</b:RefOrder>
  </b:Source>
  <b:Source>
    <b:Tag>Str14</b:Tag>
    <b:SourceType>JournalArticle</b:SourceType>
    <b:Guid>{42159AB3-1A87-409A-8185-9D2CD418ECF4}</b:Guid>
    <b:Title>When enough should be enough: Improving the use of current agricultural lands could meet production demands and spare natural habitats in Brazil</b:Title>
    <b:Year>2014</b:Year>
    <b:Pages>84-97</b:Pages>
    <b:Author>
      <b:Author>
        <b:NameList>
          <b:Person>
            <b:Last>Strassburg</b:Last>
            <b:First>Bernardo B. N.</b:First>
          </b:Person>
          <b:Person>
            <b:Last>Latawiec</b:Last>
            <b:First>Agnieszka</b:First>
          </b:Person>
          <b:Person>
            <b:Last>Barioni</b:Last>
            <b:First>Luis G.</b:First>
          </b:Person>
          <b:Person>
            <b:Last>Nobre</b:Last>
            <b:Middle>A.</b:Middle>
            <b:First>Carlos</b:First>
          </b:Person>
          <b:Person>
            <b:Last>da Silva</b:Last>
            <b:Middle>P.</b:Middle>
            <b:First>Vanderley</b:First>
          </b:Person>
          <b:Person>
            <b:Last>Valentim</b:Last>
            <b:Middle>F.</b:Middle>
            <b:First>Judson</b:First>
          </b:Person>
          <b:Person>
            <b:Last>Vianna</b:Last>
            <b:First>Murilo</b:First>
          </b:Person>
          <b:Person>
            <b:Last>Assad</b:Last>
            <b:Middle>D.</b:Middle>
            <b:First>Eduardo</b:First>
          </b:Person>
        </b:NameList>
      </b:Author>
    </b:Author>
    <b:JournalName>Global Environmental Change</b:JournalName>
    <b:RefOrder>12</b:RefOrder>
  </b:Source>
  <b:Source>
    <b:Tag>Chr10</b:Tag>
    <b:SourceType>DocumentFromInternetSite</b:SourceType>
    <b:Guid>{0D27B0F8-932A-4270-8E01-1D14E154CC11}</b:Guid>
    <b:Title>Brazil Low-Carbon Country Case Study</b:Title>
    <b:Year>2010</b:Year>
    <b:Author>
      <b:Author>
        <b:NameList>
          <b:Person>
            <b:Last>de Gouvello</b:Last>
            <b:First>Christophe</b:First>
          </b:Person>
        </b:NameList>
      </b:Author>
    </b:Author>
    <b:Medium>Report</b:Medium>
    <b:InternetSiteTitle>Clean Energy Solutions Center</b:InternetSiteTitle>
    <b:YearAccessed>2014</b:YearAccessed>
    <b:MonthAccessed>November</b:MonthAccessed>
    <b:DayAccessed>21</b:DayAccessed>
    <b:RefOrder>13</b:RefOrder>
  </b:Source>
</b:Sources>
</file>

<file path=customXml/itemProps1.xml><?xml version="1.0" encoding="utf-8"?>
<ds:datastoreItem xmlns:ds="http://schemas.openxmlformats.org/officeDocument/2006/customXml" ds:itemID="{D26492D9-E95E-4005-9B1C-DD4CEFF5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Kalifi Ferretti-Gallon (kfgallon@cgdev.org)</dc:creator>
  <cp:lastModifiedBy>Doug Boucher</cp:lastModifiedBy>
  <cp:revision>3</cp:revision>
  <dcterms:created xsi:type="dcterms:W3CDTF">2014-12-08T14:55:00Z</dcterms:created>
  <dcterms:modified xsi:type="dcterms:W3CDTF">2014-12-08T15:07:00Z</dcterms:modified>
</cp:coreProperties>
</file>